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venir" w:cs="Avenir" w:eastAsia="Avenir" w:hAnsi="Avenir"/>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rPr>
      </w:pPr>
      <w:r w:rsidDel="00000000" w:rsidR="00000000" w:rsidRPr="00000000">
        <w:rPr>
          <w:rFonts w:ascii="Avenir" w:cs="Avenir" w:eastAsia="Avenir" w:hAnsi="Avenir"/>
          <w:rtl w:val="0"/>
        </w:rPr>
        <w:t xml:space="preserve">SCO</w:t>
      </w:r>
      <w:r w:rsidDel="00000000" w:rsidR="00000000" w:rsidRPr="00000000">
        <w:rPr>
          <w:rFonts w:ascii="Avenir" w:cs="Avenir" w:eastAsia="Avenir" w:hAnsi="Avenir"/>
          <w:rtl w:val="0"/>
        </w:rPr>
        <w:t xml:space="preserve">RING </w:t>
      </w:r>
      <w:r w:rsidDel="00000000" w:rsidR="00000000" w:rsidRPr="00000000">
        <w:rPr>
          <w:rFonts w:ascii="Avenir" w:cs="Avenir" w:eastAsia="Avenir" w:hAnsi="Avenir"/>
          <w:rtl w:val="0"/>
        </w:rPr>
        <w:t xml:space="preserve">&amp; DECISIONING RUBRIC - FINAL</w:t>
      </w:r>
    </w:p>
    <w:p w:rsidR="00000000" w:rsidDel="00000000" w:rsidP="00000000" w:rsidRDefault="00000000" w:rsidRPr="00000000" w14:paraId="00000003">
      <w:pPr>
        <w:jc w:val="center"/>
        <w:rPr>
          <w:rFonts w:ascii="Avenir" w:cs="Avenir" w:eastAsia="Avenir" w:hAnsi="Avenir"/>
        </w:rPr>
      </w:pPr>
      <w:r w:rsidDel="00000000" w:rsidR="00000000" w:rsidRPr="00000000">
        <w:rPr>
          <w:rtl w:val="0"/>
        </w:rPr>
      </w:r>
    </w:p>
    <w:p w:rsidR="00000000" w:rsidDel="00000000" w:rsidP="00000000" w:rsidRDefault="00000000" w:rsidRPr="00000000" w14:paraId="00000004">
      <w:pPr>
        <w:ind w:left="0" w:firstLine="0"/>
        <w:rPr>
          <w:rFonts w:ascii="Avenir" w:cs="Avenir" w:eastAsia="Avenir" w:hAnsi="Avenir"/>
        </w:rPr>
      </w:pPr>
      <w:r w:rsidDel="00000000" w:rsidR="00000000" w:rsidRPr="00000000">
        <w:rPr>
          <w:rtl w:val="0"/>
        </w:rPr>
      </w:r>
    </w:p>
    <w:tbl>
      <w:tblPr>
        <w:tblStyle w:val="Table1"/>
        <w:tblW w:w="130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155"/>
        <w:gridCol w:w="1080"/>
        <w:gridCol w:w="1140"/>
        <w:gridCol w:w="1155"/>
        <w:gridCol w:w="1245"/>
        <w:gridCol w:w="1545"/>
        <w:gridCol w:w="1545"/>
        <w:gridCol w:w="1905"/>
        <w:tblGridChange w:id="0">
          <w:tblGrid>
            <w:gridCol w:w="2280"/>
            <w:gridCol w:w="1155"/>
            <w:gridCol w:w="1080"/>
            <w:gridCol w:w="1140"/>
            <w:gridCol w:w="1155"/>
            <w:gridCol w:w="1245"/>
            <w:gridCol w:w="1545"/>
            <w:gridCol w:w="1545"/>
            <w:gridCol w:w="1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Planning Grant Priorities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Strongly Agree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Agree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(4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Neutral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(3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Disagree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(2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Strongly Disagree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(1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Not applicable/no evidence of this (0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Score 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b w:val="1"/>
                <w:color w:val="ff0000"/>
                <w:sz w:val="20"/>
                <w:szCs w:val="20"/>
                <w:rtl w:val="0"/>
              </w:rPr>
              <w:t xml:space="preserve">Intervention is clearly community-informed and community-led</w:t>
            </w:r>
            <w:r w:rsidDel="00000000" w:rsidR="00000000" w:rsidRPr="00000000">
              <w:rPr>
                <w:rFonts w:ascii="Avenir" w:cs="Avenir" w:eastAsia="Avenir" w:hAnsi="Aveni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ff0000"/>
                <w:sz w:val="20"/>
                <w:szCs w:val="20"/>
              </w:rPr>
            </w:pPr>
            <w:r w:rsidDel="00000000" w:rsidR="00000000" w:rsidRPr="00000000">
              <w:rPr>
                <w:rFonts w:ascii="Avenir" w:cs="Avenir" w:eastAsia="Avenir" w:hAnsi="Avenir"/>
                <w:color w:val="ff0000"/>
                <w:sz w:val="20"/>
                <w:szCs w:val="20"/>
                <w:highlight w:val="white"/>
                <w:rtl w:val="0"/>
              </w:rPr>
              <w:t xml:space="preserve">Application demonstrates that the parties are pursuing the necessary attributes to scale and sustain project over time.</w:t>
            </w:r>
            <w:r w:rsidDel="00000000" w:rsidR="00000000" w:rsidRPr="00000000">
              <w:rPr>
                <w:rFonts w:ascii="Roboto" w:cs="Roboto" w:eastAsia="Roboto" w:hAnsi="Roboto"/>
                <w:color w:val="ff0000"/>
                <w:sz w:val="20"/>
                <w:szCs w:val="2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ff0000"/>
                <w:sz w:val="20"/>
                <w:szCs w:val="20"/>
              </w:rPr>
            </w:pPr>
            <w:r w:rsidDel="00000000" w:rsidR="00000000" w:rsidRPr="00000000">
              <w:rPr>
                <w:rFonts w:ascii="Avenir" w:cs="Avenir" w:eastAsia="Avenir" w:hAnsi="Avenir"/>
                <w:color w:val="ff0000"/>
                <w:sz w:val="20"/>
                <w:szCs w:val="20"/>
                <w:rtl w:val="0"/>
              </w:rPr>
              <w:t xml:space="preserve">Proposed partnership is well-defined and set up for positive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Avenir" w:cs="Avenir" w:eastAsia="Avenir" w:hAnsi="Avenir"/>
                <w:sz w:val="20"/>
                <w:szCs w:val="20"/>
              </w:rPr>
            </w:pPr>
            <w:r w:rsidDel="00000000" w:rsidR="00000000" w:rsidRPr="00000000">
              <w:rPr>
                <w:rFonts w:ascii="Avenir" w:cs="Avenir" w:eastAsia="Avenir" w:hAnsi="Avenir"/>
                <w:color w:val="ff0000"/>
                <w:sz w:val="20"/>
                <w:szCs w:val="20"/>
                <w:rtl w:val="0"/>
              </w:rPr>
              <w:t xml:space="preserve">Once implemented, planned activities will directly and positively impact the small business owners our grantmaking prioritizes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Alignment with interventions/pillars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Avenir" w:cs="Avenir" w:eastAsia="Avenir" w:hAnsi="Avenir"/>
                <w:color w:val="ff0000"/>
                <w:sz w:val="20"/>
                <w:szCs w:val="20"/>
              </w:rPr>
            </w:pPr>
            <w:r w:rsidDel="00000000" w:rsidR="00000000" w:rsidRPr="00000000">
              <w:rPr>
                <w:rFonts w:ascii="Avenir" w:cs="Avenir" w:eastAsia="Avenir" w:hAnsi="Avenir"/>
                <w:sz w:val="20"/>
                <w:szCs w:val="20"/>
                <w:rtl w:val="0"/>
              </w:rPr>
              <w:t xml:space="preserve">Proposed project demonstrates innovative approach and likelihood for increased community resiliency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Budget is feasible, echoes proposal priorities, and includes strong partner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5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5D">
      <w:pPr>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After application submission, each proposal will go through an initial qualification screening and vetting by program management staff. After this initial screening, applications will be reviewed by Grant Review Committee members, a group that is comprised of founding members of the Collective as well as external reviewers representing different viewpoints from within the small business and philanthropic sector. </w:t>
      </w:r>
    </w:p>
    <w:p w:rsidR="00000000" w:rsidDel="00000000" w:rsidP="00000000" w:rsidRDefault="00000000" w:rsidRPr="00000000" w14:paraId="0000005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Applications will be scored using a numerical scoring rubric. Each priority area will be scored on a 0-5 point scale. Award finalists (lead and partner) will be asked to participate in an interview before final decisioning, in </w:t>
      </w:r>
      <w:r w:rsidDel="00000000" w:rsidR="00000000" w:rsidRPr="00000000">
        <w:rPr>
          <w:rFonts w:ascii="Avenir" w:cs="Avenir" w:eastAsia="Avenir" w:hAnsi="Avenir"/>
          <w:sz w:val="20"/>
          <w:szCs w:val="20"/>
          <w:rtl w:val="0"/>
        </w:rPr>
        <w:t xml:space="preserve">late November. Announcements will be made in Q1 2023. </w:t>
      </w:r>
      <w:r w:rsidDel="00000000" w:rsidR="00000000" w:rsidRPr="00000000">
        <w:rPr>
          <w:rFonts w:ascii="Avenir" w:cs="Avenir" w:eastAsia="Avenir" w:hAnsi="Avenir"/>
          <w:color w:val="201f1e"/>
          <w:sz w:val="20"/>
          <w:szCs w:val="20"/>
          <w:rtl w:val="0"/>
        </w:rPr>
        <w:t xml:space="preserve">Award disbursements are anticipated to be in single installments, with interim and final reporting required.</w:t>
      </w:r>
      <w:r w:rsidDel="00000000" w:rsidR="00000000" w:rsidRPr="00000000">
        <w:rPr>
          <w:rtl w:val="0"/>
        </w:rPr>
      </w:r>
    </w:p>
    <w:p w:rsidR="00000000" w:rsidDel="00000000" w:rsidP="00000000" w:rsidRDefault="00000000" w:rsidRPr="00000000" w14:paraId="00000060">
      <w:pPr>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1">
      <w:pPr>
        <w:spacing w:line="276" w:lineRule="auto"/>
        <w:rPr>
          <w:rFonts w:ascii="Avenir" w:cs="Avenir" w:eastAsia="Avenir" w:hAnsi="Avenir"/>
          <w:color w:val="201f1e"/>
          <w:sz w:val="20"/>
          <w:szCs w:val="20"/>
        </w:rPr>
      </w:pPr>
      <w:r w:rsidDel="00000000" w:rsidR="00000000" w:rsidRPr="00000000">
        <w:rPr>
          <w:rFonts w:ascii="Avenir" w:cs="Avenir" w:eastAsia="Avenir" w:hAnsi="Avenir"/>
          <w:color w:val="201f1e"/>
          <w:sz w:val="20"/>
          <w:szCs w:val="20"/>
          <w:rtl w:val="0"/>
        </w:rPr>
        <w:t xml:space="preserve">Applicants may direct questions to </w:t>
      </w:r>
      <w:hyperlink r:id="rId6">
        <w:r w:rsidDel="00000000" w:rsidR="00000000" w:rsidRPr="00000000">
          <w:rPr>
            <w:rFonts w:ascii="Avenir" w:cs="Avenir" w:eastAsia="Avenir" w:hAnsi="Avenir"/>
            <w:color w:val="1155cc"/>
            <w:sz w:val="20"/>
            <w:szCs w:val="20"/>
            <w:u w:val="single"/>
            <w:rtl w:val="0"/>
          </w:rPr>
          <w:t xml:space="preserve">inquiries@nysmallbusinessfunders.org</w:t>
        </w:r>
      </w:hyperlink>
      <w:r w:rsidDel="00000000" w:rsidR="00000000" w:rsidRPr="00000000">
        <w:rPr>
          <w:rFonts w:ascii="Avenir" w:cs="Avenir" w:eastAsia="Avenir" w:hAnsi="Avenir"/>
          <w:color w:val="201f1e"/>
          <w:sz w:val="20"/>
          <w:szCs w:val="20"/>
          <w:rtl w:val="0"/>
        </w:rPr>
        <w:t xml:space="preserve">. In addition to the information session on September 22, the Collective will also publish FAQ on the website to share and reflect questions submitted from applicants. </w:t>
      </w:r>
    </w:p>
    <w:p w:rsidR="00000000" w:rsidDel="00000000" w:rsidP="00000000" w:rsidRDefault="00000000" w:rsidRPr="00000000" w14:paraId="00000062">
      <w:pPr>
        <w:spacing w:line="276" w:lineRule="auto"/>
        <w:rPr>
          <w:rFonts w:ascii="Avenir" w:cs="Avenir" w:eastAsia="Avenir" w:hAnsi="Avenir"/>
          <w:color w:val="201f1e"/>
          <w:sz w:val="20"/>
          <w:szCs w:val="20"/>
        </w:rPr>
      </w:pPr>
      <w:r w:rsidDel="00000000" w:rsidR="00000000" w:rsidRPr="00000000">
        <w:rPr>
          <w:rtl w:val="0"/>
        </w:rPr>
      </w:r>
    </w:p>
    <w:p w:rsidR="00000000" w:rsidDel="00000000" w:rsidP="00000000" w:rsidRDefault="00000000" w:rsidRPr="00000000" w14:paraId="00000063">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4">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5">
      <w:pPr>
        <w:ind w:left="0" w:firstLine="0"/>
        <w:rPr>
          <w:rFonts w:ascii="Avenir" w:cs="Avenir" w:eastAsia="Avenir" w:hAnsi="Avenir"/>
          <w:u w:val="single"/>
        </w:rPr>
      </w:pPr>
      <w:r w:rsidDel="00000000" w:rsidR="00000000" w:rsidRPr="00000000">
        <w:rPr>
          <w:rtl w:val="0"/>
        </w:rPr>
      </w:r>
    </w:p>
    <w:sectPr>
      <w:headerReference r:id="rId7" w:type="default"/>
      <w:headerReference r:id="rId8" w:type="first"/>
      <w:footerReference r:id="rId9" w:type="first"/>
      <w:pgSz w:h="12240" w:w="15840" w:orient="landscape"/>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pPr>
    <w:r w:rsidDel="00000000" w:rsidR="00000000" w:rsidRPr="00000000">
      <w:rPr>
        <w:rFonts w:ascii="Avenir" w:cs="Avenir" w:eastAsia="Avenir" w:hAnsi="Avenir"/>
      </w:rPr>
      <w:drawing>
        <wp:inline distB="114300" distT="114300" distL="114300" distR="114300">
          <wp:extent cx="2347913" cy="11099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7913" cy="11099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quiries@nysmallbusinessfunders.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